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6996483F" wp14:editId="455E8815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ind w:left="866" w:right="634"/>
        <w:jc w:val="center"/>
      </w:pPr>
      <w:r>
        <w:t>Công khai thông tin cơ sở vật chất của nhà trường, năm học 2021-2022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092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 xml:space="preserve">(*Theo Thông tư số </w:t>
      </w:r>
      <w:hyperlink r:id="rId5">
        <w:r>
          <w:rPr>
            <w:i/>
            <w:sz w:val="24"/>
            <w:u w:val="single"/>
          </w:rPr>
          <w:t>41/2010/TT-BGDĐT</w:t>
        </w:r>
      </w:hyperlink>
      <w:r>
        <w:rPr>
          <w:i/>
          <w:sz w:val="24"/>
        </w:rPr>
        <w:t xml:space="preserve"> ngày 30/12/2010 của Bộ GDĐT ban hành Điều lệ trường tiểu học và Thông tư số </w:t>
      </w:r>
      <w:hyperlink r:id="rId6">
        <w:r>
          <w:rPr>
            <w:i/>
            <w:sz w:val="24"/>
            <w:u w:val="single"/>
          </w:rPr>
          <w:t>27/2011/TT-BYT</w:t>
        </w:r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ngày 24/6/2011 của Bộ Y tế ban hành quy chuẩn kỹ thuật quốc gia về nhà tiêu- điều kiện bảo đảm hợp vệ sinh).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FF790E" w:rsidRDefault="0053093B" w:rsidP="0053093B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p w:rsidR="002837A2" w:rsidRDefault="002837A2" w:rsidP="004A43EC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4A43EC"/>
    <w:rsid w:val="0053093B"/>
    <w:rsid w:val="008A78D2"/>
    <w:rsid w:val="009C02A6"/>
    <w:rsid w:val="00A856A1"/>
    <w:rsid w:val="00D376BB"/>
    <w:rsid w:val="00D85208"/>
    <w:rsid w:val="00DB2534"/>
    <w:rsid w:val="00DF7889"/>
    <w:rsid w:val="00E0255C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4</cp:revision>
  <cp:lastPrinted>2021-10-12T03:45:00Z</cp:lastPrinted>
  <dcterms:created xsi:type="dcterms:W3CDTF">2023-09-20T08:37:00Z</dcterms:created>
  <dcterms:modified xsi:type="dcterms:W3CDTF">2023-09-20T10:05:00Z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